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0260"/>
        <w:gridCol w:w="239"/>
      </w:tblGrid>
      <w:tr w:rsidR="00E44050" w:rsidRPr="00B552BA" w:rsidTr="008F36B9">
        <w:trPr>
          <w:jc w:val="center"/>
        </w:trPr>
        <w:tc>
          <w:tcPr>
            <w:tcW w:w="108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4050" w:rsidRPr="00B552BA" w:rsidRDefault="00E251DF" w:rsidP="00B552B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2425" cy="419100"/>
                  <wp:effectExtent l="0" t="0" r="9525" b="0"/>
                  <wp:docPr id="1" name="Picture 1" descr="pcgenla logo for pres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genla logo for pres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E91" w:rsidRPr="00B552BA" w:rsidTr="00395FF5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92E91" w:rsidRPr="00B552BA" w:rsidRDefault="00B92E91" w:rsidP="00B552BA">
            <w:pPr>
              <w:spacing w:after="0" w:line="240" w:lineRule="auto"/>
              <w:jc w:val="center"/>
              <w:rPr>
                <w:rFonts w:cs="Arial"/>
                <w:b/>
                <w:color w:val="17365D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B92E91" w:rsidRPr="00575AEC" w:rsidRDefault="00B92E91" w:rsidP="000C22E4">
            <w:pPr>
              <w:spacing w:after="0" w:line="240" w:lineRule="auto"/>
              <w:rPr>
                <w:rFonts w:ascii="Arial" w:hAnsi="Arial" w:cs="Arial"/>
                <w:b/>
                <w:color w:val="17365D"/>
                <w:sz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B92E91" w:rsidRPr="00B552BA" w:rsidRDefault="00B92E91" w:rsidP="00B552BA">
            <w:pPr>
              <w:spacing w:after="0" w:line="240" w:lineRule="auto"/>
              <w:jc w:val="center"/>
              <w:rPr>
                <w:rFonts w:cs="Arial"/>
                <w:b/>
                <w:color w:val="17365D"/>
              </w:rPr>
            </w:pPr>
          </w:p>
        </w:tc>
      </w:tr>
      <w:tr w:rsidR="00B92E91" w:rsidRPr="00B552BA" w:rsidTr="00395FF5">
        <w:trPr>
          <w:trHeight w:val="692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92E91" w:rsidRPr="00B552BA" w:rsidRDefault="00B92E91" w:rsidP="00B552BA">
            <w:pPr>
              <w:spacing w:after="0" w:line="240" w:lineRule="auto"/>
              <w:jc w:val="center"/>
              <w:rPr>
                <w:rFonts w:cs="Arial"/>
                <w:b/>
                <w:color w:val="17365D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B92E91" w:rsidRPr="00011C35" w:rsidRDefault="00B92E91" w:rsidP="00B552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/>
                <w:sz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B92E91" w:rsidRPr="00B552BA" w:rsidRDefault="00B92E91" w:rsidP="00B552BA">
            <w:pPr>
              <w:spacing w:after="0" w:line="240" w:lineRule="auto"/>
              <w:jc w:val="center"/>
              <w:rPr>
                <w:rFonts w:cs="Arial"/>
                <w:b/>
                <w:color w:val="17365D"/>
              </w:rPr>
            </w:pPr>
          </w:p>
        </w:tc>
      </w:tr>
      <w:tr w:rsidR="00B92E91" w:rsidRPr="00B552BA" w:rsidTr="00395FF5">
        <w:trPr>
          <w:trHeight w:val="890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92E91" w:rsidRPr="00B552BA" w:rsidRDefault="00B92E91" w:rsidP="00B552BA">
            <w:pPr>
              <w:spacing w:after="0" w:line="240" w:lineRule="auto"/>
              <w:jc w:val="center"/>
              <w:rPr>
                <w:rFonts w:cs="Arial"/>
                <w:b/>
                <w:color w:val="17365D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5F233A" w:rsidRDefault="005F233A" w:rsidP="005F233A">
            <w:pPr>
              <w:spacing w:after="0" w:line="360" w:lineRule="auto"/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7365D"/>
                <w:sz w:val="28"/>
                <w:szCs w:val="26"/>
              </w:rPr>
              <w:t xml:space="preserve">       </w:t>
            </w:r>
            <w:r w:rsidR="008C351B" w:rsidRPr="005F233A">
              <w:rPr>
                <w:rFonts w:ascii="Arial" w:hAnsi="Arial" w:cs="Arial"/>
                <w:b/>
                <w:color w:val="17365D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color w:val="17365D"/>
                <w:sz w:val="24"/>
                <w:szCs w:val="24"/>
              </w:rPr>
              <w:t>ublic Advisory</w:t>
            </w:r>
          </w:p>
          <w:p w:rsidR="008F36B9" w:rsidRPr="005F233A" w:rsidRDefault="00347DE5" w:rsidP="005F233A">
            <w:pPr>
              <w:spacing w:after="0" w:line="360" w:lineRule="auto"/>
              <w:rPr>
                <w:rFonts w:ascii="Arial" w:hAnsi="Arial" w:cs="Arial"/>
                <w:b/>
                <w:color w:val="17365D"/>
                <w:sz w:val="24"/>
                <w:szCs w:val="24"/>
              </w:rPr>
            </w:pPr>
            <w:r w:rsidRPr="005F233A">
              <w:rPr>
                <w:rFonts w:ascii="Arial" w:hAnsi="Arial" w:cs="Arial"/>
                <w:b/>
                <w:color w:val="17365D"/>
                <w:sz w:val="24"/>
                <w:szCs w:val="24"/>
              </w:rPr>
              <w:t xml:space="preserve"> </w:t>
            </w:r>
          </w:p>
          <w:p w:rsidR="003C45B1" w:rsidRPr="00845BAA" w:rsidRDefault="00DC7C7A" w:rsidP="00CB2063">
            <w:pPr>
              <w:shd w:val="clear" w:color="auto" w:fill="FFFFFF"/>
              <w:jc w:val="center"/>
              <w:rPr>
                <w:rFonts w:ascii="Arial" w:hAnsi="Arial" w:cs="Arial"/>
                <w:b/>
                <w:color w:val="17365D"/>
                <w:sz w:val="28"/>
                <w:szCs w:val="28"/>
              </w:rPr>
            </w:pPr>
            <w:r w:rsidRPr="00DC7C7A"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  <w:t xml:space="preserve">VOTER’S IDs NOW AVAILABLE AT </w:t>
            </w:r>
            <w:r w:rsidR="005F233A"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  <w:t>PHL</w:t>
            </w:r>
            <w:r w:rsidRPr="00DC7C7A">
              <w:rPr>
                <w:rFonts w:ascii="Arial" w:hAnsi="Arial" w:cs="Arial"/>
                <w:b/>
                <w:color w:val="1F4E79" w:themeColor="accent1" w:themeShade="80"/>
                <w:sz w:val="28"/>
                <w:szCs w:val="28"/>
              </w:rPr>
              <w:t xml:space="preserve"> CONSULATE GENERAL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B92E91" w:rsidRPr="00B552BA" w:rsidRDefault="00B92E91" w:rsidP="00B552BA">
            <w:pPr>
              <w:spacing w:after="0" w:line="240" w:lineRule="auto"/>
              <w:jc w:val="center"/>
              <w:rPr>
                <w:rFonts w:cs="Arial"/>
                <w:b/>
                <w:color w:val="17365D"/>
              </w:rPr>
            </w:pPr>
          </w:p>
        </w:tc>
      </w:tr>
      <w:tr w:rsidR="004552E4" w:rsidRPr="00B552BA" w:rsidTr="00395FF5">
        <w:trPr>
          <w:trHeight w:val="62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552E4" w:rsidRPr="00B552BA" w:rsidRDefault="004552E4" w:rsidP="00B552BA">
            <w:pPr>
              <w:spacing w:after="0" w:line="240" w:lineRule="auto"/>
              <w:jc w:val="center"/>
              <w:rPr>
                <w:rFonts w:cs="Arial"/>
                <w:b/>
                <w:color w:val="17365D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4552E4" w:rsidRPr="00011C35" w:rsidRDefault="004552E4" w:rsidP="00191A80">
            <w:pPr>
              <w:spacing w:after="0" w:line="240" w:lineRule="auto"/>
              <w:rPr>
                <w:rFonts w:ascii="Arial" w:hAnsi="Arial" w:cs="Arial"/>
                <w:b/>
                <w:color w:val="17365D"/>
                <w:sz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4552E4" w:rsidRPr="00B552BA" w:rsidRDefault="004552E4" w:rsidP="00B552BA">
            <w:pPr>
              <w:spacing w:after="0" w:line="240" w:lineRule="auto"/>
              <w:jc w:val="center"/>
              <w:rPr>
                <w:rFonts w:cs="Arial"/>
                <w:b/>
                <w:color w:val="17365D"/>
              </w:rPr>
            </w:pPr>
          </w:p>
        </w:tc>
      </w:tr>
      <w:tr w:rsidR="00B92E91" w:rsidRPr="00B552BA" w:rsidTr="008F5F54">
        <w:trPr>
          <w:trHeight w:val="8560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92E91" w:rsidRPr="00B552BA" w:rsidRDefault="00B92E91" w:rsidP="00B552BA">
            <w:pPr>
              <w:spacing w:after="0" w:line="240" w:lineRule="auto"/>
              <w:jc w:val="center"/>
              <w:rPr>
                <w:rFonts w:cs="Arial"/>
                <w:b/>
                <w:color w:val="17365D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7"/>
              <w:gridCol w:w="9188"/>
              <w:gridCol w:w="287"/>
            </w:tblGrid>
            <w:tr w:rsidR="009455EF" w:rsidRPr="00B552BA" w:rsidTr="008F5F54">
              <w:trPr>
                <w:trHeight w:val="8560"/>
                <w:jc w:val="center"/>
              </w:trPr>
              <w:tc>
                <w:tcPr>
                  <w:tcW w:w="287" w:type="dxa"/>
                </w:tcPr>
                <w:p w:rsidR="009455EF" w:rsidRPr="008C351B" w:rsidRDefault="009455EF" w:rsidP="006C59E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17365D"/>
                    </w:rPr>
                  </w:pPr>
                </w:p>
              </w:tc>
              <w:tc>
                <w:tcPr>
                  <w:tcW w:w="9188" w:type="dxa"/>
                </w:tcPr>
                <w:p w:rsidR="009E2CAC" w:rsidRDefault="00E251DF" w:rsidP="00E251D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</w:rPr>
                  </w:pPr>
                  <w:r w:rsidRPr="00862FA1">
                    <w:rPr>
                      <w:rFonts w:ascii="Arial" w:hAnsi="Arial" w:cs="Arial"/>
                      <w:sz w:val="28"/>
                    </w:rPr>
                    <w:t xml:space="preserve">Los Angeles, </w:t>
                  </w:r>
                  <w:r w:rsidR="005F233A">
                    <w:rPr>
                      <w:rFonts w:ascii="Arial" w:hAnsi="Arial" w:cs="Arial"/>
                      <w:sz w:val="28"/>
                    </w:rPr>
                    <w:t>1</w:t>
                  </w:r>
                  <w:r w:rsidR="006F6F43">
                    <w:rPr>
                      <w:rFonts w:ascii="Arial" w:hAnsi="Arial" w:cs="Arial"/>
                      <w:sz w:val="28"/>
                    </w:rPr>
                    <w:t>5</w:t>
                  </w:r>
                  <w:bookmarkStart w:id="0" w:name="_GoBack"/>
                  <w:bookmarkEnd w:id="0"/>
                  <w:r w:rsidR="005F233A">
                    <w:rPr>
                      <w:rFonts w:ascii="Arial" w:hAnsi="Arial" w:cs="Arial"/>
                      <w:sz w:val="28"/>
                    </w:rPr>
                    <w:t xml:space="preserve"> December</w:t>
                  </w:r>
                  <w:r>
                    <w:rPr>
                      <w:rFonts w:ascii="Arial" w:hAnsi="Arial" w:cs="Arial"/>
                      <w:sz w:val="28"/>
                    </w:rPr>
                    <w:t xml:space="preserve"> 2016 -</w:t>
                  </w:r>
                  <w:r w:rsidRPr="00862FA1">
                    <w:rPr>
                      <w:rFonts w:ascii="Arial" w:hAnsi="Arial" w:cs="Arial"/>
                      <w:sz w:val="28"/>
                    </w:rPr>
                    <w:t xml:space="preserve"> The Philippine Consulate General in</w:t>
                  </w:r>
                  <w:r>
                    <w:rPr>
                      <w:rFonts w:ascii="Arial" w:hAnsi="Arial" w:cs="Arial"/>
                      <w:sz w:val="28"/>
                    </w:rPr>
                    <w:t xml:space="preserve">forms </w:t>
                  </w:r>
                  <w:r w:rsidR="009E2CAC">
                    <w:rPr>
                      <w:rFonts w:ascii="Arial" w:hAnsi="Arial" w:cs="Arial"/>
                      <w:sz w:val="28"/>
                    </w:rPr>
                    <w:t xml:space="preserve">the Filipino community in all the </w:t>
                  </w:r>
                  <w:r w:rsidR="00CB2063">
                    <w:rPr>
                      <w:rFonts w:ascii="Arial" w:hAnsi="Arial" w:cs="Arial"/>
                      <w:sz w:val="28"/>
                    </w:rPr>
                    <w:t>south western United States</w:t>
                  </w:r>
                  <w:r w:rsidR="009E2CAC">
                    <w:rPr>
                      <w:rFonts w:ascii="Arial" w:hAnsi="Arial" w:cs="Arial"/>
                      <w:sz w:val="28"/>
                    </w:rPr>
                    <w:t xml:space="preserve"> within its jurisdiction that the Commission on Elections (COMELEC)</w:t>
                  </w:r>
                  <w:r w:rsidR="00CB2063">
                    <w:rPr>
                      <w:rFonts w:ascii="Arial" w:hAnsi="Arial" w:cs="Arial"/>
                      <w:sz w:val="28"/>
                    </w:rPr>
                    <w:t xml:space="preserve"> issued</w:t>
                  </w:r>
                  <w:r w:rsidR="009E2CAC">
                    <w:rPr>
                      <w:rFonts w:ascii="Arial" w:hAnsi="Arial" w:cs="Arial"/>
                      <w:sz w:val="28"/>
                    </w:rPr>
                    <w:t xml:space="preserve"> Voter’s IDs intended for registered voters who applied for registration at the Consulate General for the period 2009-2012 </w:t>
                  </w:r>
                  <w:r w:rsidR="00CB2063">
                    <w:rPr>
                      <w:rFonts w:ascii="Arial" w:hAnsi="Arial" w:cs="Arial"/>
                      <w:sz w:val="28"/>
                    </w:rPr>
                    <w:t>are already available</w:t>
                  </w:r>
                  <w:r w:rsidR="009E2CAC">
                    <w:rPr>
                      <w:rFonts w:ascii="Arial" w:hAnsi="Arial" w:cs="Arial"/>
                      <w:sz w:val="28"/>
                    </w:rPr>
                    <w:t>.</w:t>
                  </w:r>
                </w:p>
                <w:p w:rsidR="009E2CAC" w:rsidRDefault="009E2CAC" w:rsidP="00E251D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  <w:p w:rsidR="00E251DF" w:rsidRDefault="009E2CAC" w:rsidP="00E251D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The Voter’s ID</w:t>
                  </w:r>
                  <w:r w:rsidR="00CB2063">
                    <w:rPr>
                      <w:rFonts w:ascii="Arial" w:hAnsi="Arial" w:cs="Arial"/>
                      <w:sz w:val="28"/>
                    </w:rPr>
                    <w:t>s</w:t>
                  </w:r>
                  <w:r>
                    <w:rPr>
                      <w:rFonts w:ascii="Arial" w:hAnsi="Arial" w:cs="Arial"/>
                      <w:sz w:val="28"/>
                    </w:rPr>
                    <w:t xml:space="preserve"> may be picked up personally or by a duly</w:t>
                  </w:r>
                  <w:r w:rsidR="00CB2063">
                    <w:rPr>
                      <w:rFonts w:ascii="Arial" w:hAnsi="Arial" w:cs="Arial"/>
                      <w:sz w:val="28"/>
                    </w:rPr>
                    <w:t>-</w:t>
                  </w:r>
                  <w:r>
                    <w:rPr>
                      <w:rFonts w:ascii="Arial" w:hAnsi="Arial" w:cs="Arial"/>
                      <w:sz w:val="28"/>
                    </w:rPr>
                    <w:t>authorized representative from the Philippine Consulate General at 3435 Wilshire Blvd, Suite 550, Los Angeles, CA 90010</w:t>
                  </w:r>
                  <w:r w:rsidR="00E251DF">
                    <w:rPr>
                      <w:rFonts w:ascii="Arial" w:hAnsi="Arial" w:cs="Arial"/>
                      <w:sz w:val="28"/>
                    </w:rPr>
                    <w:t>.</w:t>
                  </w:r>
                </w:p>
                <w:p w:rsidR="00E251DF" w:rsidRDefault="00E251DF" w:rsidP="00E251D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  <w:p w:rsidR="00E251DF" w:rsidRDefault="009E2CAC" w:rsidP="00E251D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According to the COMELEC, the IDs of voters who filed their applications </w:t>
                  </w:r>
                  <w:r w:rsidR="00CB2063">
                    <w:rPr>
                      <w:rFonts w:ascii="Arial" w:hAnsi="Arial" w:cs="Arial"/>
                      <w:sz w:val="28"/>
                    </w:rPr>
                    <w:t>from</w:t>
                  </w:r>
                  <w:r>
                    <w:rPr>
                      <w:rFonts w:ascii="Arial" w:hAnsi="Arial" w:cs="Arial"/>
                      <w:sz w:val="28"/>
                    </w:rPr>
                    <w:t xml:space="preserve"> 2014 to present </w:t>
                  </w:r>
                  <w:r w:rsidR="00CB2063">
                    <w:rPr>
                      <w:rFonts w:ascii="Arial" w:hAnsi="Arial" w:cs="Arial"/>
                      <w:sz w:val="28"/>
                    </w:rPr>
                    <w:t xml:space="preserve">are still </w:t>
                  </w:r>
                  <w:r>
                    <w:rPr>
                      <w:rFonts w:ascii="Arial" w:hAnsi="Arial" w:cs="Arial"/>
                      <w:sz w:val="28"/>
                    </w:rPr>
                    <w:t xml:space="preserve">queued for printing.  The Consulate General will issue another advisory as soon as </w:t>
                  </w:r>
                  <w:r w:rsidR="00CB2063">
                    <w:rPr>
                      <w:rFonts w:ascii="Arial" w:hAnsi="Arial" w:cs="Arial"/>
                      <w:sz w:val="28"/>
                    </w:rPr>
                    <w:t>this batch of</w:t>
                  </w:r>
                  <w:r>
                    <w:rPr>
                      <w:rFonts w:ascii="Arial" w:hAnsi="Arial" w:cs="Arial"/>
                      <w:sz w:val="28"/>
                    </w:rPr>
                    <w:t xml:space="preserve"> IDs are received</w:t>
                  </w:r>
                  <w:r w:rsidR="00E251DF">
                    <w:rPr>
                      <w:rFonts w:ascii="Arial" w:hAnsi="Arial" w:cs="Arial"/>
                      <w:sz w:val="28"/>
                    </w:rPr>
                    <w:t>.</w:t>
                  </w:r>
                </w:p>
                <w:p w:rsidR="00E251DF" w:rsidRDefault="00E251DF" w:rsidP="00E251D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  <w:p w:rsidR="009E2CAC" w:rsidRDefault="009E2CAC" w:rsidP="00E251D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To check the availability of your Voter’s ID, you may call the Philippine Consulate General in Los Angeles at Tel no. (213) 637-3024 or the concerned Post (Philippine Embassy or Consulate General where you filed your application for registration, if not in Los Angeles</w:t>
                  </w:r>
                  <w:r w:rsidR="00CB2063">
                    <w:rPr>
                      <w:rFonts w:ascii="Arial" w:hAnsi="Arial" w:cs="Arial"/>
                      <w:sz w:val="28"/>
                    </w:rPr>
                    <w:t>.  Alternatively,</w:t>
                  </w:r>
                  <w:r>
                    <w:rPr>
                      <w:rFonts w:ascii="Arial" w:hAnsi="Arial" w:cs="Arial"/>
                      <w:sz w:val="28"/>
                    </w:rPr>
                    <w:t xml:space="preserve"> the COMELEC-Office for Overseas Voting </w:t>
                  </w:r>
                  <w:r w:rsidR="00CB2063">
                    <w:rPr>
                      <w:rFonts w:ascii="Arial" w:hAnsi="Arial" w:cs="Arial"/>
                      <w:sz w:val="28"/>
                    </w:rPr>
                    <w:t>may be reached through address</w:t>
                  </w:r>
                  <w:r>
                    <w:rPr>
                      <w:rFonts w:ascii="Arial" w:hAnsi="Arial" w:cs="Arial"/>
                      <w:sz w:val="28"/>
                    </w:rPr>
                    <w:t xml:space="preserve"> 7</w:t>
                  </w:r>
                  <w:r w:rsidR="00CB2063">
                    <w:rPr>
                      <w:rFonts w:ascii="Arial" w:hAnsi="Arial" w:cs="Arial"/>
                      <w:sz w:val="28"/>
                    </w:rPr>
                    <w:t>/</w:t>
                  </w:r>
                  <w:r>
                    <w:rPr>
                      <w:rFonts w:ascii="Arial" w:hAnsi="Arial" w:cs="Arial"/>
                      <w:sz w:val="28"/>
                    </w:rPr>
                    <w:t xml:space="preserve">F Palacio del </w:t>
                  </w:r>
                  <w:proofErr w:type="spellStart"/>
                  <w:r>
                    <w:rPr>
                      <w:rFonts w:ascii="Arial" w:hAnsi="Arial" w:cs="Arial"/>
                      <w:sz w:val="28"/>
                    </w:rPr>
                    <w:t>G</w:t>
                  </w:r>
                  <w:r w:rsidR="00DC7C7A">
                    <w:rPr>
                      <w:rFonts w:ascii="Arial" w:hAnsi="Arial" w:cs="Arial"/>
                      <w:sz w:val="28"/>
                    </w:rPr>
                    <w:t>o</w:t>
                  </w:r>
                  <w:r>
                    <w:rPr>
                      <w:rFonts w:ascii="Arial" w:hAnsi="Arial" w:cs="Arial"/>
                      <w:sz w:val="28"/>
                    </w:rPr>
                    <w:t>bernador</w:t>
                  </w:r>
                  <w:proofErr w:type="spellEnd"/>
                  <w:r>
                    <w:rPr>
                      <w:rFonts w:ascii="Arial" w:hAnsi="Arial" w:cs="Arial"/>
                      <w:sz w:val="28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8"/>
                    </w:rPr>
                    <w:t>Intramuros</w:t>
                  </w:r>
                  <w:proofErr w:type="spellEnd"/>
                  <w:r w:rsidR="00CB2063">
                    <w:rPr>
                      <w:rFonts w:ascii="Arial" w:hAnsi="Arial" w:cs="Arial"/>
                      <w:sz w:val="28"/>
                    </w:rPr>
                    <w:t>,</w:t>
                  </w:r>
                  <w:r>
                    <w:rPr>
                      <w:rFonts w:ascii="Arial" w:hAnsi="Arial" w:cs="Arial"/>
                      <w:sz w:val="28"/>
                    </w:rPr>
                    <w:t xml:space="preserve"> Manila</w:t>
                  </w:r>
                  <w:proofErr w:type="gramStart"/>
                  <w:r w:rsidR="00CB2063">
                    <w:rPr>
                      <w:rFonts w:ascii="Arial" w:hAnsi="Arial" w:cs="Arial"/>
                      <w:sz w:val="28"/>
                    </w:rPr>
                    <w:t>;</w:t>
                  </w:r>
                  <w:r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="00CB2063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</w:rPr>
                    <w:t>Tel</w:t>
                  </w:r>
                  <w:proofErr w:type="gramEnd"/>
                  <w:r>
                    <w:rPr>
                      <w:rFonts w:ascii="Arial" w:hAnsi="Arial" w:cs="Arial"/>
                      <w:sz w:val="28"/>
                    </w:rPr>
                    <w:t>. nos. (</w:t>
                  </w:r>
                  <w:r w:rsidR="00CB2063">
                    <w:rPr>
                      <w:rFonts w:ascii="Arial" w:hAnsi="Arial" w:cs="Arial"/>
                      <w:sz w:val="28"/>
                    </w:rPr>
                    <w:t>+</w:t>
                  </w:r>
                  <w:r>
                    <w:rPr>
                      <w:rFonts w:ascii="Arial" w:hAnsi="Arial" w:cs="Arial"/>
                      <w:sz w:val="28"/>
                    </w:rPr>
                    <w:t>632) 521-2952 and (</w:t>
                  </w:r>
                  <w:r w:rsidR="00CB2063">
                    <w:rPr>
                      <w:rFonts w:ascii="Arial" w:hAnsi="Arial" w:cs="Arial"/>
                      <w:sz w:val="28"/>
                    </w:rPr>
                    <w:t>+</w:t>
                  </w:r>
                  <w:r>
                    <w:rPr>
                      <w:rFonts w:ascii="Arial" w:hAnsi="Arial" w:cs="Arial"/>
                      <w:sz w:val="28"/>
                    </w:rPr>
                    <w:t xml:space="preserve">632) 522-2251 or email at </w:t>
                  </w:r>
                  <w:hyperlink r:id="rId7" w:history="1">
                    <w:r w:rsidRPr="004333FE">
                      <w:rPr>
                        <w:rStyle w:val="Hyperlink"/>
                        <w:rFonts w:ascii="Arial" w:hAnsi="Arial" w:cs="Arial"/>
                        <w:sz w:val="28"/>
                      </w:rPr>
                      <w:t>overseasvoting@comelec.gov.ph</w:t>
                    </w:r>
                  </w:hyperlink>
                  <w:r>
                    <w:rPr>
                      <w:rFonts w:ascii="Arial" w:hAnsi="Arial" w:cs="Arial"/>
                      <w:sz w:val="28"/>
                    </w:rPr>
                    <w:t xml:space="preserve">.  </w:t>
                  </w:r>
                  <w:r w:rsidRPr="009E2CAC">
                    <w:rPr>
                      <w:rFonts w:ascii="Arial" w:hAnsi="Arial" w:cs="Arial"/>
                      <w:b/>
                      <w:i/>
                      <w:sz w:val="28"/>
                    </w:rPr>
                    <w:t>END</w:t>
                  </w:r>
                </w:p>
                <w:p w:rsidR="001526A9" w:rsidRDefault="001526A9" w:rsidP="003C45B1">
                  <w:pPr>
                    <w:pStyle w:val="NoSpacing"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E251DF" w:rsidRPr="008C351B" w:rsidRDefault="00E251DF" w:rsidP="003C45B1">
                  <w:pPr>
                    <w:pStyle w:val="NoSpacing"/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  <w:p w:rsidR="00397CFD" w:rsidRPr="008C351B" w:rsidRDefault="00397CFD" w:rsidP="003C45B1">
                  <w:pPr>
                    <w:pStyle w:val="NoSpacing"/>
                    <w:jc w:val="both"/>
                    <w:rPr>
                      <w:rFonts w:ascii="Arial" w:eastAsia="Times New Roman" w:hAnsi="Arial" w:cs="Arial"/>
                      <w:sz w:val="23"/>
                      <w:szCs w:val="23"/>
                    </w:rPr>
                  </w:pPr>
                </w:p>
                <w:p w:rsidR="008B0565" w:rsidRPr="001513E1" w:rsidRDefault="008B0565" w:rsidP="008F36B9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7" w:type="dxa"/>
                </w:tcPr>
                <w:p w:rsidR="009455EF" w:rsidRPr="00B552BA" w:rsidRDefault="009455EF" w:rsidP="006C59E8">
                  <w:pPr>
                    <w:spacing w:after="0" w:line="240" w:lineRule="auto"/>
                    <w:jc w:val="center"/>
                    <w:rPr>
                      <w:rFonts w:cs="Arial"/>
                      <w:b/>
                      <w:color w:val="17365D"/>
                    </w:rPr>
                  </w:pPr>
                </w:p>
              </w:tc>
            </w:tr>
          </w:tbl>
          <w:p w:rsidR="009455EF" w:rsidRPr="007C35B2" w:rsidRDefault="009455EF" w:rsidP="006C5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8"/>
                <w:szCs w:val="21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B92E91" w:rsidRPr="00B552BA" w:rsidRDefault="00B92E91" w:rsidP="00B552BA">
            <w:pPr>
              <w:spacing w:after="0" w:line="240" w:lineRule="auto"/>
              <w:jc w:val="center"/>
              <w:rPr>
                <w:rFonts w:cs="Arial"/>
                <w:b/>
                <w:color w:val="17365D"/>
              </w:rPr>
            </w:pPr>
          </w:p>
        </w:tc>
      </w:tr>
    </w:tbl>
    <w:p w:rsidR="00B552BA" w:rsidRPr="00E44050" w:rsidRDefault="00B552BA" w:rsidP="0016195F">
      <w:pPr>
        <w:spacing w:before="100" w:beforeAutospacing="1" w:after="100" w:afterAutospacing="1" w:line="240" w:lineRule="auto"/>
        <w:rPr>
          <w:color w:val="17365D"/>
        </w:rPr>
      </w:pPr>
    </w:p>
    <w:sectPr w:rsidR="00B552BA" w:rsidRPr="00E44050" w:rsidSect="00CB206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9232E"/>
    <w:multiLevelType w:val="hybridMultilevel"/>
    <w:tmpl w:val="B764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C59C9"/>
    <w:multiLevelType w:val="hybridMultilevel"/>
    <w:tmpl w:val="733E8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50"/>
    <w:rsid w:val="00011C35"/>
    <w:rsid w:val="00014DE6"/>
    <w:rsid w:val="00021312"/>
    <w:rsid w:val="00046B83"/>
    <w:rsid w:val="00046E25"/>
    <w:rsid w:val="00047DA7"/>
    <w:rsid w:val="00063F9F"/>
    <w:rsid w:val="00070153"/>
    <w:rsid w:val="00090F5E"/>
    <w:rsid w:val="000B4D58"/>
    <w:rsid w:val="000C0E47"/>
    <w:rsid w:val="000C22E4"/>
    <w:rsid w:val="000F12F0"/>
    <w:rsid w:val="00114196"/>
    <w:rsid w:val="00116BEC"/>
    <w:rsid w:val="00122C91"/>
    <w:rsid w:val="001513E1"/>
    <w:rsid w:val="001526A9"/>
    <w:rsid w:val="0016195F"/>
    <w:rsid w:val="00185CF9"/>
    <w:rsid w:val="00191A80"/>
    <w:rsid w:val="001A37D9"/>
    <w:rsid w:val="001B6B33"/>
    <w:rsid w:val="001D6151"/>
    <w:rsid w:val="001F16A3"/>
    <w:rsid w:val="001F20B2"/>
    <w:rsid w:val="001F2148"/>
    <w:rsid w:val="002040AC"/>
    <w:rsid w:val="00210F44"/>
    <w:rsid w:val="00273C17"/>
    <w:rsid w:val="0029771A"/>
    <w:rsid w:val="002A1E2E"/>
    <w:rsid w:val="002E7EE7"/>
    <w:rsid w:val="002F1451"/>
    <w:rsid w:val="00311ECB"/>
    <w:rsid w:val="00323604"/>
    <w:rsid w:val="0033056D"/>
    <w:rsid w:val="00342D8A"/>
    <w:rsid w:val="00347DE5"/>
    <w:rsid w:val="003514A9"/>
    <w:rsid w:val="00373E63"/>
    <w:rsid w:val="003952E1"/>
    <w:rsid w:val="00395FF5"/>
    <w:rsid w:val="00397CFD"/>
    <w:rsid w:val="003B4253"/>
    <w:rsid w:val="003C45B1"/>
    <w:rsid w:val="003D58A6"/>
    <w:rsid w:val="003F2B01"/>
    <w:rsid w:val="003F672F"/>
    <w:rsid w:val="004511BA"/>
    <w:rsid w:val="004546A4"/>
    <w:rsid w:val="004552E4"/>
    <w:rsid w:val="00465383"/>
    <w:rsid w:val="004727F8"/>
    <w:rsid w:val="004851B4"/>
    <w:rsid w:val="004928F7"/>
    <w:rsid w:val="004B6E8F"/>
    <w:rsid w:val="004C65DF"/>
    <w:rsid w:val="004D1301"/>
    <w:rsid w:val="004D42A0"/>
    <w:rsid w:val="004D6067"/>
    <w:rsid w:val="004D6813"/>
    <w:rsid w:val="004E6285"/>
    <w:rsid w:val="004F67AE"/>
    <w:rsid w:val="00504F7B"/>
    <w:rsid w:val="00513699"/>
    <w:rsid w:val="00527FD2"/>
    <w:rsid w:val="005421B7"/>
    <w:rsid w:val="00552304"/>
    <w:rsid w:val="00553F23"/>
    <w:rsid w:val="00567519"/>
    <w:rsid w:val="00575AEC"/>
    <w:rsid w:val="00591E80"/>
    <w:rsid w:val="00594D78"/>
    <w:rsid w:val="005963F1"/>
    <w:rsid w:val="005970FB"/>
    <w:rsid w:val="005C73C4"/>
    <w:rsid w:val="005E72B5"/>
    <w:rsid w:val="005F233A"/>
    <w:rsid w:val="006106DF"/>
    <w:rsid w:val="00636169"/>
    <w:rsid w:val="00644269"/>
    <w:rsid w:val="0067573E"/>
    <w:rsid w:val="00684871"/>
    <w:rsid w:val="00685EF9"/>
    <w:rsid w:val="00694307"/>
    <w:rsid w:val="00694CF7"/>
    <w:rsid w:val="006B55FB"/>
    <w:rsid w:val="006B6533"/>
    <w:rsid w:val="006C59E8"/>
    <w:rsid w:val="006F67E8"/>
    <w:rsid w:val="006F6F43"/>
    <w:rsid w:val="0071403A"/>
    <w:rsid w:val="00714E6C"/>
    <w:rsid w:val="00720581"/>
    <w:rsid w:val="00745405"/>
    <w:rsid w:val="0075212A"/>
    <w:rsid w:val="007B56D4"/>
    <w:rsid w:val="007C28E0"/>
    <w:rsid w:val="007C35B2"/>
    <w:rsid w:val="007D1250"/>
    <w:rsid w:val="007D7700"/>
    <w:rsid w:val="007F5C32"/>
    <w:rsid w:val="00822C65"/>
    <w:rsid w:val="00831B23"/>
    <w:rsid w:val="00833E6A"/>
    <w:rsid w:val="00834CCF"/>
    <w:rsid w:val="00845079"/>
    <w:rsid w:val="00845BAA"/>
    <w:rsid w:val="00883AA2"/>
    <w:rsid w:val="008B0565"/>
    <w:rsid w:val="008C1C58"/>
    <w:rsid w:val="008C351B"/>
    <w:rsid w:val="008F17DE"/>
    <w:rsid w:val="008F3351"/>
    <w:rsid w:val="008F36B9"/>
    <w:rsid w:val="008F5F54"/>
    <w:rsid w:val="00903784"/>
    <w:rsid w:val="00931CA7"/>
    <w:rsid w:val="009450CC"/>
    <w:rsid w:val="009455EF"/>
    <w:rsid w:val="0095767F"/>
    <w:rsid w:val="009718BF"/>
    <w:rsid w:val="0097748A"/>
    <w:rsid w:val="0099541E"/>
    <w:rsid w:val="009A5C4B"/>
    <w:rsid w:val="009C0AE4"/>
    <w:rsid w:val="009D0DEE"/>
    <w:rsid w:val="009D3E0C"/>
    <w:rsid w:val="009D7AAE"/>
    <w:rsid w:val="009E2CAC"/>
    <w:rsid w:val="00A00920"/>
    <w:rsid w:val="00A15443"/>
    <w:rsid w:val="00A34590"/>
    <w:rsid w:val="00A60991"/>
    <w:rsid w:val="00A6487E"/>
    <w:rsid w:val="00A90B75"/>
    <w:rsid w:val="00A943BD"/>
    <w:rsid w:val="00AA2926"/>
    <w:rsid w:val="00AC06B4"/>
    <w:rsid w:val="00AD010E"/>
    <w:rsid w:val="00B03251"/>
    <w:rsid w:val="00B15CA7"/>
    <w:rsid w:val="00B35605"/>
    <w:rsid w:val="00B416B4"/>
    <w:rsid w:val="00B433A6"/>
    <w:rsid w:val="00B552BA"/>
    <w:rsid w:val="00B65E13"/>
    <w:rsid w:val="00B74612"/>
    <w:rsid w:val="00B92E91"/>
    <w:rsid w:val="00B977E6"/>
    <w:rsid w:val="00BC4DA2"/>
    <w:rsid w:val="00BD1337"/>
    <w:rsid w:val="00BD1A8B"/>
    <w:rsid w:val="00BF5D81"/>
    <w:rsid w:val="00C073D5"/>
    <w:rsid w:val="00C07C8A"/>
    <w:rsid w:val="00C11191"/>
    <w:rsid w:val="00C1598B"/>
    <w:rsid w:val="00C159CF"/>
    <w:rsid w:val="00C3625A"/>
    <w:rsid w:val="00C47B64"/>
    <w:rsid w:val="00C60ACB"/>
    <w:rsid w:val="00C65232"/>
    <w:rsid w:val="00C9299A"/>
    <w:rsid w:val="00C9321E"/>
    <w:rsid w:val="00CA4F97"/>
    <w:rsid w:val="00CA6AAD"/>
    <w:rsid w:val="00CB2063"/>
    <w:rsid w:val="00CB6CC6"/>
    <w:rsid w:val="00D20163"/>
    <w:rsid w:val="00D37B9D"/>
    <w:rsid w:val="00D61C42"/>
    <w:rsid w:val="00D71A34"/>
    <w:rsid w:val="00DB138E"/>
    <w:rsid w:val="00DC2FB4"/>
    <w:rsid w:val="00DC7C7A"/>
    <w:rsid w:val="00DC7C8C"/>
    <w:rsid w:val="00DD7E43"/>
    <w:rsid w:val="00DF454A"/>
    <w:rsid w:val="00E00535"/>
    <w:rsid w:val="00E015C7"/>
    <w:rsid w:val="00E102B8"/>
    <w:rsid w:val="00E251DF"/>
    <w:rsid w:val="00E26C4F"/>
    <w:rsid w:val="00E2756C"/>
    <w:rsid w:val="00E33DFF"/>
    <w:rsid w:val="00E43486"/>
    <w:rsid w:val="00E44050"/>
    <w:rsid w:val="00E45E2E"/>
    <w:rsid w:val="00E54A15"/>
    <w:rsid w:val="00E572C1"/>
    <w:rsid w:val="00E66D50"/>
    <w:rsid w:val="00E76EB8"/>
    <w:rsid w:val="00E838CB"/>
    <w:rsid w:val="00EB6B92"/>
    <w:rsid w:val="00EF4EB4"/>
    <w:rsid w:val="00F10B16"/>
    <w:rsid w:val="00F20240"/>
    <w:rsid w:val="00F30CBD"/>
    <w:rsid w:val="00F40083"/>
    <w:rsid w:val="00F40542"/>
    <w:rsid w:val="00F47634"/>
    <w:rsid w:val="00F51465"/>
    <w:rsid w:val="00F71DE8"/>
    <w:rsid w:val="00F8773A"/>
    <w:rsid w:val="00FB1BEC"/>
    <w:rsid w:val="00FB373A"/>
    <w:rsid w:val="00FC43E6"/>
    <w:rsid w:val="00FD07A3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F7083-74EA-44FE-9DE2-6A6A146F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D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0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0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44050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E44050"/>
    <w:rPr>
      <w:sz w:val="22"/>
      <w:szCs w:val="22"/>
    </w:rPr>
  </w:style>
  <w:style w:type="character" w:styleId="Hyperlink">
    <w:name w:val="Hyperlink"/>
    <w:uiPriority w:val="99"/>
    <w:unhideWhenUsed/>
    <w:rsid w:val="00A6487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9455EF"/>
    <w:rPr>
      <w:rFonts w:ascii="Courier New" w:eastAsia="Times New Roman" w:hAnsi="Courier New" w:cs="Courier New"/>
    </w:rPr>
  </w:style>
  <w:style w:type="paragraph" w:customStyle="1" w:styleId="Default">
    <w:name w:val="Default"/>
    <w:rsid w:val="00504F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6B6533"/>
    <w:rPr>
      <w:b/>
      <w:bCs/>
    </w:rPr>
  </w:style>
  <w:style w:type="character" w:styleId="Emphasis">
    <w:name w:val="Emphasis"/>
    <w:uiPriority w:val="20"/>
    <w:qFormat/>
    <w:rsid w:val="009450CC"/>
    <w:rPr>
      <w:i/>
      <w:iCs/>
    </w:rPr>
  </w:style>
  <w:style w:type="character" w:customStyle="1" w:styleId="spelle">
    <w:name w:val="spelle"/>
    <w:basedOn w:val="DefaultParagraphFont"/>
    <w:rsid w:val="0084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verseasvoting@comelec.gov.p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14710-7B36-4EA3-942A-974A2F44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EricSierra</dc:creator>
  <cp:keywords/>
  <cp:lastModifiedBy>cesar angeles</cp:lastModifiedBy>
  <cp:revision>5</cp:revision>
  <cp:lastPrinted>2016-12-15T00:22:00Z</cp:lastPrinted>
  <dcterms:created xsi:type="dcterms:W3CDTF">2016-12-13T02:04:00Z</dcterms:created>
  <dcterms:modified xsi:type="dcterms:W3CDTF">2016-12-15T02:05:00Z</dcterms:modified>
</cp:coreProperties>
</file>